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F23D8" w14:textId="77777777" w:rsidR="00DE1E27" w:rsidRPr="00DE1E27" w:rsidRDefault="001161E8" w:rsidP="0092595A">
      <w:pPr>
        <w:jc w:val="center"/>
        <w:rPr>
          <w:rFonts w:ascii="Mazda Type Medium" w:hAnsi="Mazda Type Medium"/>
          <w:sz w:val="32"/>
          <w:szCs w:val="32"/>
          <w:lang w:val="pt-PT"/>
        </w:rPr>
      </w:pPr>
      <w:r w:rsidRPr="00DE1E27">
        <w:rPr>
          <w:rFonts w:ascii="Mazda Type Medium" w:hAnsi="Mazda Type Medium"/>
          <w:sz w:val="32"/>
          <w:szCs w:val="32"/>
          <w:lang w:val="pt-PT"/>
        </w:rPr>
        <w:t xml:space="preserve">Mazda </w:t>
      </w:r>
      <w:r w:rsidR="00DE1E27" w:rsidRPr="00DE1E27">
        <w:rPr>
          <w:rFonts w:ascii="Mazda Type Medium" w:hAnsi="Mazda Type Medium"/>
          <w:sz w:val="32"/>
          <w:szCs w:val="32"/>
          <w:lang w:val="pt-PT"/>
        </w:rPr>
        <w:t xml:space="preserve">lidera indústria norte-americana </w:t>
      </w:r>
    </w:p>
    <w:p w14:paraId="19A9965A" w14:textId="5A44A2B5" w:rsidR="0092595A" w:rsidRPr="00DE1E27" w:rsidRDefault="00DE1E27" w:rsidP="00DE1E27">
      <w:pPr>
        <w:jc w:val="center"/>
        <w:rPr>
          <w:rFonts w:ascii="Mazda Type Medium" w:hAnsi="Mazda Type Medium"/>
          <w:sz w:val="32"/>
          <w:szCs w:val="32"/>
          <w:lang w:val="pt-PT"/>
        </w:rPr>
      </w:pPr>
      <w:r>
        <w:rPr>
          <w:rFonts w:ascii="Mazda Type Medium" w:hAnsi="Mazda Type Medium"/>
          <w:sz w:val="32"/>
          <w:szCs w:val="32"/>
          <w:lang w:val="pt-PT"/>
        </w:rPr>
        <w:t xml:space="preserve">nos galardões </w:t>
      </w:r>
      <w:r w:rsidRPr="00DE1E27">
        <w:rPr>
          <w:rFonts w:ascii="Mazda Type Medium" w:hAnsi="Mazda Type Medium"/>
          <w:sz w:val="32"/>
          <w:szCs w:val="32"/>
          <w:lang w:val="pt-PT"/>
        </w:rPr>
        <w:t>‘</w:t>
      </w:r>
      <w:r w:rsidR="001161E8" w:rsidRPr="00DE1E27">
        <w:rPr>
          <w:rFonts w:ascii="Mazda Type Medium" w:hAnsi="Mazda Type Medium"/>
          <w:sz w:val="32"/>
          <w:szCs w:val="32"/>
          <w:lang w:val="pt-PT"/>
        </w:rPr>
        <w:t xml:space="preserve">TOP SAFETY PICK+ </w:t>
      </w:r>
      <w:r w:rsidRPr="00DE1E27">
        <w:rPr>
          <w:rFonts w:ascii="Mazda Type Medium" w:hAnsi="Mazda Type Medium"/>
          <w:sz w:val="32"/>
          <w:szCs w:val="32"/>
          <w:lang w:val="pt-PT"/>
        </w:rPr>
        <w:t xml:space="preserve">2025’da IIHS 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7E0F0B4F" w14:textId="4E3BF926" w:rsidR="00A72EB4" w:rsidRPr="00BE7DDA" w:rsidRDefault="00BE7DDA" w:rsidP="00BE7DDA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BE7DDA">
        <w:rPr>
          <w:rFonts w:ascii="Mazda Type" w:hAnsi="Mazda Type"/>
          <w:sz w:val="22"/>
          <w:szCs w:val="22"/>
          <w:lang w:val="pt-PT"/>
        </w:rPr>
        <w:t>Oito modelos Mazda distinguidos com o troféu maior deste organismo de segurança automóvel norte-americano</w:t>
      </w:r>
    </w:p>
    <w:p w14:paraId="34573B2E" w14:textId="4805975F" w:rsidR="0076690A" w:rsidRPr="00BE7DDA" w:rsidRDefault="00BE7DDA" w:rsidP="00BE7DDA">
      <w:pPr>
        <w:pStyle w:val="PargrafodaLista"/>
        <w:numPr>
          <w:ilvl w:val="0"/>
          <w:numId w:val="1"/>
        </w:numPr>
        <w:spacing w:line="260" w:lineRule="exact"/>
        <w:ind w:right="559"/>
        <w:rPr>
          <w:rFonts w:ascii="Mazda Type" w:hAnsi="Mazda Type"/>
          <w:sz w:val="22"/>
          <w:szCs w:val="22"/>
          <w:lang w:val="pt-PT"/>
        </w:rPr>
      </w:pPr>
      <w:r w:rsidRPr="00BE7DDA">
        <w:rPr>
          <w:rFonts w:ascii="Mazda Type" w:hAnsi="Mazda Type"/>
          <w:sz w:val="22"/>
          <w:szCs w:val="22"/>
          <w:lang w:val="pt-PT"/>
        </w:rPr>
        <w:t xml:space="preserve">Aposta da Mazda na segurança tem como </w:t>
      </w:r>
      <w:proofErr w:type="spellStart"/>
      <w:r w:rsidRPr="00BE7DDA">
        <w:rPr>
          <w:rFonts w:ascii="Mazda Type" w:hAnsi="Mazda Type"/>
          <w:sz w:val="22"/>
          <w:szCs w:val="22"/>
          <w:lang w:val="pt-PT"/>
        </w:rPr>
        <w:t>objectivo</w:t>
      </w:r>
      <w:proofErr w:type="spellEnd"/>
      <w:r w:rsidRPr="00BE7DDA">
        <w:rPr>
          <w:rFonts w:ascii="Mazda Type" w:hAnsi="Mazda Type"/>
          <w:sz w:val="22"/>
          <w:szCs w:val="22"/>
          <w:lang w:val="pt-PT"/>
        </w:rPr>
        <w:t xml:space="preserve"> último a eliminação das mortes </w:t>
      </w:r>
      <w:r>
        <w:rPr>
          <w:rFonts w:ascii="Mazda Type" w:hAnsi="Mazda Type"/>
          <w:sz w:val="22"/>
          <w:szCs w:val="22"/>
          <w:lang w:val="pt-PT"/>
        </w:rPr>
        <w:t>nas estradas</w:t>
      </w:r>
    </w:p>
    <w:p w14:paraId="7C5B421E" w14:textId="77777777" w:rsidR="00A72EB4" w:rsidRDefault="00A72EB4" w:rsidP="00A72EB4">
      <w:pPr>
        <w:spacing w:line="260" w:lineRule="exact"/>
        <w:rPr>
          <w:rFonts w:ascii="Mazda Type" w:hAnsi="Mazda Type"/>
          <w:sz w:val="22"/>
          <w:szCs w:val="22"/>
          <w:lang w:val="pt-PT"/>
        </w:rPr>
      </w:pPr>
    </w:p>
    <w:p w14:paraId="540597D7" w14:textId="10E8DFCB" w:rsidR="00DB76E2" w:rsidRDefault="001161E8" w:rsidP="001161E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Washington </w:t>
      </w:r>
      <w:r w:rsidR="00306B43"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>| Lisboa</w:t>
      </w:r>
      <w:r w:rsidR="009871C7"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>,</w:t>
      </w:r>
      <w:r w:rsidR="00306B43"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703CC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7 </w:t>
      </w:r>
      <w:proofErr w:type="gramStart"/>
      <w:r w:rsidR="00703CC8">
        <w:rPr>
          <w:rFonts w:ascii="Mazda Type" w:hAnsi="Mazda Type"/>
          <w:b/>
          <w:kern w:val="2"/>
          <w:sz w:val="20"/>
          <w:szCs w:val="20"/>
          <w:lang w:val="pt-PT" w:eastAsia="ja-JP"/>
        </w:rPr>
        <w:t>Abril</w:t>
      </w:r>
      <w:proofErr w:type="gramEnd"/>
      <w:r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 </w:t>
      </w:r>
      <w:r w:rsidR="009871C7"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E72164" w:rsidRPr="00DB76E2">
        <w:rPr>
          <w:rFonts w:ascii="Mazda Type" w:hAnsi="Mazda Type"/>
          <w:b/>
          <w:kern w:val="2"/>
          <w:sz w:val="20"/>
          <w:szCs w:val="20"/>
          <w:lang w:val="pt-PT" w:eastAsia="ja-JP"/>
        </w:rPr>
        <w:t>5</w:t>
      </w:r>
      <w:r w:rsidR="009871C7" w:rsidRPr="00DB76E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proofErr w:type="spellStart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Insurance</w:t>
      </w:r>
      <w:proofErr w:type="spellEnd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Institute</w:t>
      </w:r>
      <w:proofErr w:type="spellEnd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for </w:t>
      </w:r>
      <w:proofErr w:type="spellStart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Highway</w:t>
      </w:r>
      <w:proofErr w:type="spellEnd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Safety</w:t>
      </w:r>
      <w:proofErr w:type="spellEnd"/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(IIHS)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acaba de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anunci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vencedores dos prémios </w:t>
      </w:r>
      <w:r w:rsidR="00DE1E27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TOP SAFETY PICK+ 2025</w:t>
      </w:r>
      <w:r w:rsidR="00DE1E27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orgulhando-se a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Mazda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64446A">
        <w:rPr>
          <w:rFonts w:ascii="Mazda Type" w:hAnsi="Mazda Type"/>
          <w:kern w:val="2"/>
          <w:sz w:val="20"/>
          <w:szCs w:val="20"/>
          <w:lang w:val="pt-PT" w:eastAsia="ja-JP"/>
        </w:rPr>
        <w:t xml:space="preserve">se ver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distinguida com </w:t>
      </w:r>
      <w:r w:rsidR="0064446A">
        <w:rPr>
          <w:rFonts w:ascii="Mazda Type" w:hAnsi="Mazda Type"/>
          <w:kern w:val="2"/>
          <w:sz w:val="20"/>
          <w:szCs w:val="20"/>
          <w:lang w:val="pt-PT" w:eastAsia="ja-JP"/>
        </w:rPr>
        <w:t xml:space="preserve">nada menos do que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oito </w:t>
      </w:r>
      <w:r w:rsidR="00DE1E27">
        <w:rPr>
          <w:rFonts w:ascii="Mazda Type" w:hAnsi="Mazda Type"/>
          <w:kern w:val="2"/>
          <w:sz w:val="20"/>
          <w:szCs w:val="20"/>
          <w:lang w:val="pt-PT" w:eastAsia="ja-JP"/>
        </w:rPr>
        <w:t xml:space="preserve">destes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troféus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 excelência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703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volume superior ao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703CC8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qualquer outra marca</w:t>
      </w:r>
      <w:r w:rsidR="0064446A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modelos </w:t>
      </w:r>
      <w:r w:rsidR="00703CC8">
        <w:rPr>
          <w:rFonts w:ascii="Mazda Type" w:hAnsi="Mazda Type"/>
          <w:kern w:val="2"/>
          <w:sz w:val="20"/>
          <w:szCs w:val="20"/>
          <w:lang w:val="pt-PT" w:eastAsia="ja-JP"/>
        </w:rPr>
        <w:t xml:space="preserve">agora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distinguidos </w:t>
      </w:r>
      <w:r w:rsidR="00705771">
        <w:rPr>
          <w:rFonts w:ascii="Mazda Type" w:hAnsi="Mazda Type"/>
          <w:kern w:val="2"/>
          <w:sz w:val="20"/>
          <w:szCs w:val="20"/>
          <w:lang w:val="pt-PT" w:eastAsia="ja-JP"/>
        </w:rPr>
        <w:t xml:space="preserve">são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o Mazda3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nas versões de carroçaria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Hatchback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Sedan, o</w:t>
      </w:r>
      <w:r w:rsidR="0064446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SUV</w:t>
      </w:r>
      <w:r w:rsidR="0064446A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0577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compactos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CX-30</w:t>
      </w:r>
      <w:r w:rsidR="0064446A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CX-50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e os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SUVs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E1E27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grandes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CX-70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05771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CX-70 PHEV</w:t>
      </w:r>
      <w:r w:rsidR="00705771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CX-90 </w:t>
      </w:r>
      <w:r w:rsidR="00705771"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CX-90 PHEV</w:t>
      </w:r>
      <w:r w:rsidR="00705771">
        <w:rPr>
          <w:rFonts w:ascii="Mazda Type" w:hAnsi="Mazda Type"/>
          <w:kern w:val="2"/>
          <w:sz w:val="20"/>
          <w:szCs w:val="20"/>
          <w:lang w:val="pt-PT" w:eastAsia="ja-JP"/>
        </w:rPr>
        <w:t>, cada um alvo de análises independentes</w:t>
      </w:r>
      <w:r w:rsidR="00705771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1"/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</w:p>
    <w:p w14:paraId="71769757" w14:textId="1633937D" w:rsidR="001161E8" w:rsidRPr="001161E8" w:rsidRDefault="00DE1E27" w:rsidP="001161E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E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sta </w:t>
      </w:r>
      <w:r w:rsidR="00DB76E2" w:rsidRP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organização independente e não governamental de testes de segurança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>atribui os</w:t>
      </w:r>
      <w:r w:rsidR="00DB76E2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alt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>os</w:t>
      </w:r>
      <w:r w:rsidR="00DB76E2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galardões no domínio da </w:t>
      </w:r>
      <w:r w:rsidR="00DB76E2" w:rsidRPr="001161E8">
        <w:rPr>
          <w:rFonts w:ascii="Mazda Type" w:hAnsi="Mazda Type"/>
          <w:kern w:val="2"/>
          <w:sz w:val="20"/>
          <w:szCs w:val="20"/>
          <w:lang w:val="pt-PT" w:eastAsia="ja-JP"/>
        </w:rPr>
        <w:t>segurança automóvel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64446A">
        <w:rPr>
          <w:rFonts w:ascii="Mazda Type" w:hAnsi="Mazda Type"/>
          <w:kern w:val="2"/>
          <w:sz w:val="20"/>
          <w:szCs w:val="20"/>
          <w:lang w:val="pt-PT" w:eastAsia="ja-JP"/>
        </w:rPr>
        <w:t>alcançar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veículos têm de obter as melhores classificações nos testes de colisão frontal e lateral, nas avaliações de prevenção de colisão 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peões e têm de 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estar </w:t>
      </w:r>
      <w:r w:rsidR="00FA7558">
        <w:rPr>
          <w:rFonts w:ascii="Mazda Type" w:hAnsi="Mazda Type"/>
          <w:kern w:val="2"/>
          <w:sz w:val="20"/>
          <w:szCs w:val="20"/>
          <w:lang w:val="pt-PT" w:eastAsia="ja-JP"/>
        </w:rPr>
        <w:t xml:space="preserve">dotados de 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bons sistemas de iluminação 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de série.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Recorde-se que o 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>IIHS reforça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>, a cada ano,</w:t>
      </w:r>
      <w:r w:rsidR="00DB76E2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seus 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critérios de 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>avaliação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sendo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este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programa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>referente a</w:t>
      </w:r>
      <w:r w:rsidR="001161E8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2025 o mais exigente de sempre.</w:t>
      </w:r>
    </w:p>
    <w:p w14:paraId="32332562" w14:textId="01A87D6E" w:rsidR="001161E8" w:rsidRDefault="001161E8" w:rsidP="001161E8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“O sucesso do nosso programa depende do compromisso dos fabricantes de automóveis </w:t>
      </w:r>
      <w:r w:rsidR="004E362F"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para 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com a segurança”,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 afirmou </w:t>
      </w:r>
      <w:r w:rsidR="004E362F"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David </w:t>
      </w:r>
      <w:proofErr w:type="spellStart"/>
      <w:r w:rsidR="004E362F" w:rsidRPr="001161E8">
        <w:rPr>
          <w:rFonts w:ascii="Mazda Type" w:hAnsi="Mazda Type"/>
          <w:kern w:val="2"/>
          <w:sz w:val="20"/>
          <w:szCs w:val="20"/>
          <w:lang w:val="pt-PT" w:eastAsia="ja-JP"/>
        </w:rPr>
        <w:t>Harkey</w:t>
      </w:r>
      <w:proofErr w:type="spellEnd"/>
      <w:r w:rsidR="004E362F">
        <w:rPr>
          <w:rFonts w:ascii="Mazda Type" w:hAnsi="Mazda Type"/>
          <w:kern w:val="2"/>
          <w:sz w:val="20"/>
          <w:szCs w:val="20"/>
          <w:lang w:val="pt-PT" w:eastAsia="ja-JP"/>
        </w:rPr>
        <w:t>, P</w:t>
      </w:r>
      <w:r w:rsidRPr="001161E8">
        <w:rPr>
          <w:rFonts w:ascii="Mazda Type" w:hAnsi="Mazda Type"/>
          <w:kern w:val="2"/>
          <w:sz w:val="20"/>
          <w:szCs w:val="20"/>
          <w:lang w:val="pt-PT" w:eastAsia="ja-JP"/>
        </w:rPr>
        <w:t xml:space="preserve">residente do IIHS. 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“Parabéns à Mazda por enfrentar este desafio com oito vencedores do </w:t>
      </w:r>
      <w:r w:rsidR="00DE1E2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‘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TOP SAFETY PICK+</w:t>
      </w:r>
      <w:r w:rsidR="00DE1E27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’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 o máximo de qualquer marca.”</w:t>
      </w:r>
    </w:p>
    <w:p w14:paraId="0BE4283C" w14:textId="09C3B19E" w:rsidR="004E362F" w:rsidRPr="004E362F" w:rsidRDefault="004E362F" w:rsidP="004E362F">
      <w:pPr>
        <w:adjustRightInd w:val="0"/>
        <w:spacing w:after="120" w:line="260" w:lineRule="exact"/>
        <w:jc w:val="both"/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</w:pP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“A dedicação da Mazda em manter os nossos clientes e os seus passageiros em segurança, com o </w:t>
      </w:r>
      <w:proofErr w:type="spellStart"/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obje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c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tivo</w:t>
      </w:r>
      <w:proofErr w:type="spellEnd"/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de eliminar as mortes </w:t>
      </w:r>
      <w:r w:rsidR="00BE7DDA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nas estradas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, é evidenciada por estes 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mais recentes troféus 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do IIHS”</w:t>
      </w:r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sublinhou </w:t>
      </w:r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Tom </w:t>
      </w:r>
      <w:proofErr w:type="spellStart"/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>Donnelly</w:t>
      </w:r>
      <w:proofErr w:type="spellEnd"/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, Presidente e CEO da Mazda </w:t>
      </w:r>
      <w:proofErr w:type="spellStart"/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>North</w:t>
      </w:r>
      <w:proofErr w:type="spellEnd"/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>America</w:t>
      </w:r>
      <w:r w:rsidR="00B938E1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proofErr w:type="spellEnd"/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proofErr w:type="spellStart"/>
      <w:r w:rsidRPr="004E362F">
        <w:rPr>
          <w:rFonts w:ascii="Mazda Type" w:hAnsi="Mazda Type"/>
          <w:kern w:val="2"/>
          <w:sz w:val="20"/>
          <w:szCs w:val="20"/>
          <w:lang w:val="pt-PT" w:eastAsia="ja-JP"/>
        </w:rPr>
        <w:t>Operations</w:t>
      </w:r>
      <w:proofErr w:type="spellEnd"/>
      <w:r w:rsidR="00B938E1">
        <w:rPr>
          <w:rStyle w:val="Refdenotaderodap"/>
          <w:rFonts w:ascii="Mazda Type" w:hAnsi="Mazda Type"/>
          <w:kern w:val="2"/>
          <w:sz w:val="20"/>
          <w:szCs w:val="20"/>
          <w:lang w:val="pt-PT" w:eastAsia="ja-JP"/>
        </w:rPr>
        <w:footnoteReference w:id="2"/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. “Apreciamos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profundamente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,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o facto de o IIHS desafiar continuamente a indústria com metas sempre em movimento</w:t>
      </w:r>
      <w:r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e </w:t>
      </w:r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com os seus rigorosos testes de colisão que </w:t>
      </w:r>
      <w:proofErr w:type="spellStart"/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reflectem</w:t>
      </w:r>
      <w:proofErr w:type="spellEnd"/>
      <w:r w:rsidRPr="004E362F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 xml:space="preserve"> cenários de colisão do mundo real.”</w:t>
      </w:r>
    </w:p>
    <w:p w14:paraId="6E58A773" w14:textId="3BBBE1F6" w:rsidR="003B1D14" w:rsidRDefault="00FA7558" w:rsidP="009646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Acrescente-se que a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s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soluções de segurança 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>da Mazda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empregues quase transversalmente, </w:t>
      </w:r>
      <w:r w:rsidR="00DE1E27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modelos 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comercializa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diferentes mercados 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o seu reflexo em idênticas operações de análise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aí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realiza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das. No mercado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europeu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 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processo 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>es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tá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a cargo d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o consórcio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Euro NCAP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entidade independente cujas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avaliações se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têm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torn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>ado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cada vez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mais exigentes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pormenorizadas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mas onde 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Mazda tem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continuado a 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>alcança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resultados de excelência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6A5EE2D0" w14:textId="04BEF116" w:rsidR="00964676" w:rsidRDefault="00FA7558" w:rsidP="00964676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>O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 mais recente elevou o recém-lançado Mazda CX-80 ao estatuto de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>‘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Best</w:t>
      </w:r>
      <w:proofErr w:type="spellEnd"/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in </w:t>
      </w:r>
      <w:proofErr w:type="spellStart"/>
      <w:r>
        <w:rPr>
          <w:rFonts w:ascii="Mazda Type" w:hAnsi="Mazda Type"/>
          <w:kern w:val="2"/>
          <w:sz w:val="20"/>
          <w:szCs w:val="20"/>
          <w:lang w:val="pt-PT" w:eastAsia="ja-JP"/>
        </w:rPr>
        <w:t>Class</w:t>
      </w:r>
      <w:proofErr w:type="spellEnd"/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>’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a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Euro NCAP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a considerá-lo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como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964676" w:rsidRPr="00964676">
        <w:rPr>
          <w:rFonts w:ascii="Mazda Type" w:hAnsi="Mazda Type"/>
          <w:kern w:val="2"/>
          <w:sz w:val="20"/>
          <w:szCs w:val="20"/>
          <w:lang w:val="pt-PT" w:eastAsia="ja-JP"/>
        </w:rPr>
        <w:t>‘Melhor Grande SUV do Segmento’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sublinhando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os resultados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avaliados 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não só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nos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testes de impacto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>sob</w:t>
      </w:r>
      <w:r w:rsidR="00DB76E2">
        <w:rPr>
          <w:rFonts w:ascii="Mazda Type" w:hAnsi="Mazda Type"/>
          <w:kern w:val="2"/>
          <w:sz w:val="20"/>
          <w:szCs w:val="20"/>
          <w:lang w:val="pt-PT" w:eastAsia="ja-JP"/>
        </w:rPr>
        <w:t xml:space="preserve"> diferentes vertentes e situações, como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F74F06">
        <w:rPr>
          <w:rFonts w:ascii="Mazda Type" w:hAnsi="Mazda Type"/>
          <w:kern w:val="2"/>
          <w:sz w:val="20"/>
          <w:szCs w:val="20"/>
          <w:lang w:val="pt-PT" w:eastAsia="ja-JP"/>
        </w:rPr>
        <w:t xml:space="preserve">os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da análise aos sistemas de apoio à condução e de segurança de série</w:t>
      </w:r>
      <w:r w:rsidR="003B1D14">
        <w:rPr>
          <w:rFonts w:ascii="Mazda Type" w:hAnsi="Mazda Type"/>
          <w:kern w:val="2"/>
          <w:sz w:val="20"/>
          <w:szCs w:val="20"/>
          <w:lang w:val="pt-PT" w:eastAsia="ja-JP"/>
        </w:rPr>
        <w:t xml:space="preserve"> integrados naquele que é o maior e mais luxuoso SUV do catálogo europeu da Mazda</w:t>
      </w:r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 xml:space="preserve">. Informações adicionais podem ser consultadas </w:t>
      </w:r>
      <w:hyperlink r:id="rId8" w:history="1">
        <w:r w:rsidR="00964676" w:rsidRPr="00964676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aqui</w:t>
        </w:r>
      </w:hyperlink>
      <w:r w:rsidR="00964676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0F0DC43C" w14:textId="7D17D4D5" w:rsidR="00DE76A5" w:rsidRDefault="00365B33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1E9BCF61" w14:textId="77777777" w:rsidR="00D34F60" w:rsidRPr="00305558" w:rsidRDefault="00D34F60" w:rsidP="00D34F60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</w:p>
    <w:p w14:paraId="01418B6C" w14:textId="3491E3D9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9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0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0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1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0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1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1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2"/>
      <w:footerReference w:type="default" r:id="rId13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81EC8" w14:textId="77777777" w:rsidR="009B3BE7" w:rsidRDefault="009B3BE7" w:rsidP="00972E15">
      <w:r>
        <w:separator/>
      </w:r>
    </w:p>
  </w:endnote>
  <w:endnote w:type="continuationSeparator" w:id="0">
    <w:p w14:paraId="4DD99B0C" w14:textId="77777777" w:rsidR="009B3BE7" w:rsidRDefault="009B3BE7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proofErr w:type="spellStart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Tel</w:t>
                            </w:r>
                            <w:proofErr w:type="spellEnd"/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proofErr w:type="spellStart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Tel</w:t>
                      </w:r>
                      <w:proofErr w:type="spellEnd"/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3C24E" w14:textId="77777777" w:rsidR="009B3BE7" w:rsidRDefault="009B3BE7" w:rsidP="00972E15">
      <w:r>
        <w:separator/>
      </w:r>
    </w:p>
  </w:footnote>
  <w:footnote w:type="continuationSeparator" w:id="0">
    <w:p w14:paraId="57A9BE88" w14:textId="77777777" w:rsidR="009B3BE7" w:rsidRDefault="009B3BE7" w:rsidP="00972E15">
      <w:r>
        <w:continuationSeparator/>
      </w:r>
    </w:p>
  </w:footnote>
  <w:footnote w:id="1">
    <w:p w14:paraId="28D4E1AA" w14:textId="450A9AC5" w:rsidR="00705771" w:rsidRPr="00346F53" w:rsidRDefault="00705771" w:rsidP="00B938E1">
      <w:pPr>
        <w:pStyle w:val="Textodenotaderodap"/>
        <w:spacing w:after="60"/>
        <w:jc w:val="both"/>
        <w:rPr>
          <w:rFonts w:ascii="Mazda Type" w:hAnsi="Mazda Type"/>
          <w:sz w:val="17"/>
          <w:szCs w:val="17"/>
          <w:lang w:val="pt-PT"/>
        </w:rPr>
      </w:pPr>
      <w:r w:rsidRPr="00346F53">
        <w:rPr>
          <w:rStyle w:val="Refdenotaderodap"/>
          <w:rFonts w:ascii="Mazda Type" w:hAnsi="Mazda Type"/>
          <w:sz w:val="17"/>
          <w:szCs w:val="17"/>
        </w:rPr>
        <w:footnoteRef/>
      </w:r>
      <w:r w:rsidRPr="00346F53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Os modelos </w:t>
      </w:r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Mazda3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(</w:t>
      </w:r>
      <w:proofErr w:type="spellStart"/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>Hatchback</w:t>
      </w:r>
      <w:proofErr w:type="spellEnd"/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e </w:t>
      </w:r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>Sedan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) e CX-30</w:t>
      </w:r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em análise são versões com características específicas para o mercado norte-americano, podendo diferir d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>as integradas nas versõe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s comercializad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>a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s na Europa</w:t>
      </w:r>
      <w:r w:rsidR="00703CC8">
        <w:rPr>
          <w:rFonts w:ascii="Mazda Type" w:hAnsi="Mazda Type"/>
          <w:kern w:val="2"/>
          <w:sz w:val="17"/>
          <w:szCs w:val="17"/>
          <w:lang w:val="pt-PT" w:eastAsia="ja-JP"/>
        </w:rPr>
        <w:t xml:space="preserve"> e noutros mercados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>. O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s 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>SUV</w:t>
      </w:r>
      <w:r w:rsidR="00703CC8">
        <w:rPr>
          <w:rFonts w:ascii="Mazda Type" w:hAnsi="Mazda Type"/>
          <w:kern w:val="2"/>
          <w:sz w:val="17"/>
          <w:szCs w:val="17"/>
          <w:lang w:val="pt-PT" w:eastAsia="ja-JP"/>
        </w:rPr>
        <w:t xml:space="preserve"> Mazda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 xml:space="preserve">CX-50, CX-70 e CX-90 não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são comercializados na Europa.</w:t>
      </w:r>
    </w:p>
  </w:footnote>
  <w:footnote w:id="2">
    <w:p w14:paraId="752206C1" w14:textId="5A64DDD2" w:rsidR="00B938E1" w:rsidRPr="00FF2D0D" w:rsidRDefault="00B938E1" w:rsidP="00B938E1">
      <w:pPr>
        <w:pStyle w:val="Textodenotaderodap"/>
        <w:spacing w:after="60"/>
        <w:jc w:val="both"/>
        <w:rPr>
          <w:rFonts w:ascii="Mazda Type" w:hAnsi="Mazda Type"/>
          <w:kern w:val="2"/>
          <w:sz w:val="17"/>
          <w:szCs w:val="17"/>
          <w:lang w:val="pt-PT" w:eastAsia="ja-JP"/>
        </w:rPr>
      </w:pPr>
      <w:r w:rsidRPr="00346F53">
        <w:rPr>
          <w:rStyle w:val="Refdenotaderodap"/>
          <w:rFonts w:ascii="Mazda Type" w:hAnsi="Mazda Type"/>
          <w:sz w:val="17"/>
          <w:szCs w:val="17"/>
        </w:rPr>
        <w:footnoteRef/>
      </w:r>
      <w:r w:rsidRPr="00346F53">
        <w:rPr>
          <w:rFonts w:ascii="Mazda Type" w:hAnsi="Mazda Type"/>
          <w:sz w:val="17"/>
          <w:szCs w:val="17"/>
        </w:rPr>
        <w:t xml:space="preserve"> </w:t>
      </w:r>
      <w:r>
        <w:rPr>
          <w:rFonts w:ascii="Mazda Type" w:hAnsi="Mazda Type"/>
          <w:sz w:val="17"/>
          <w:szCs w:val="17"/>
        </w:rPr>
        <w:t xml:space="preserve">A </w:t>
      </w:r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 xml:space="preserve">Mazda </w:t>
      </w:r>
      <w:proofErr w:type="spellStart"/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>North</w:t>
      </w:r>
      <w:proofErr w:type="spellEnd"/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proofErr w:type="spellStart"/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>American</w:t>
      </w:r>
      <w:proofErr w:type="spellEnd"/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proofErr w:type="spellStart"/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>Operations</w:t>
      </w:r>
      <w:proofErr w:type="spellEnd"/>
      <w:r w:rsidRPr="00346F53">
        <w:rPr>
          <w:rFonts w:ascii="Mazda Type" w:hAnsi="Mazda Type"/>
          <w:kern w:val="2"/>
          <w:sz w:val="17"/>
          <w:szCs w:val="17"/>
          <w:lang w:val="pt-PT" w:eastAsia="ja-JP"/>
        </w:rPr>
        <w:t xml:space="preserve"> 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 xml:space="preserve">tem sede em Irvine, Califórnia, e supervisiona as vendas, marketing, peças e serviço de apoio ao cliente dos veículos Mazda nos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EUA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, Canadá, México e Colômbia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>,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 xml:space="preserve"> através de </w:t>
      </w:r>
      <w:r>
        <w:rPr>
          <w:rFonts w:ascii="Mazda Type" w:hAnsi="Mazda Type"/>
          <w:kern w:val="2"/>
          <w:sz w:val="17"/>
          <w:szCs w:val="17"/>
          <w:lang w:val="pt-PT" w:eastAsia="ja-JP"/>
        </w:rPr>
        <w:t xml:space="preserve">cerca de 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795 concessionários. As operações no Canadá são geridas pela Mazda Canada Inc.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 xml:space="preserve"> (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Richmond Hill, Ontário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>),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 xml:space="preserve"> no México pela Mazda Motor de </w:t>
      </w:r>
      <w:proofErr w:type="spellStart"/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Mexico</w:t>
      </w:r>
      <w:proofErr w:type="spellEnd"/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 xml:space="preserve"> (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Cidade do México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>)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 xml:space="preserve"> e na Colômbia pela Mazda de </w:t>
      </w:r>
      <w:proofErr w:type="spellStart"/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Colombia</w:t>
      </w:r>
      <w:proofErr w:type="spellEnd"/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 xml:space="preserve"> (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Bogotá</w:t>
      </w:r>
      <w:r w:rsidR="00654A50">
        <w:rPr>
          <w:rFonts w:ascii="Mazda Type" w:hAnsi="Mazda Type"/>
          <w:kern w:val="2"/>
          <w:sz w:val="17"/>
          <w:szCs w:val="17"/>
          <w:lang w:val="pt-PT" w:eastAsia="ja-JP"/>
        </w:rPr>
        <w:t>)</w:t>
      </w:r>
      <w:r w:rsidRPr="00FF2D0D">
        <w:rPr>
          <w:rFonts w:ascii="Mazda Type" w:hAnsi="Mazda Type"/>
          <w:kern w:val="2"/>
          <w:sz w:val="17"/>
          <w:szCs w:val="17"/>
          <w:lang w:val="pt-PT" w:eastAsia="ja-JP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6139"/>
    <w:rsid w:val="000A6C05"/>
    <w:rsid w:val="000B5634"/>
    <w:rsid w:val="000E60B0"/>
    <w:rsid w:val="000F18B0"/>
    <w:rsid w:val="00102B76"/>
    <w:rsid w:val="00115766"/>
    <w:rsid w:val="001161E8"/>
    <w:rsid w:val="0011628C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C43A7"/>
    <w:rsid w:val="001D4E76"/>
    <w:rsid w:val="001D5A45"/>
    <w:rsid w:val="001E5D7F"/>
    <w:rsid w:val="001E7319"/>
    <w:rsid w:val="001F0243"/>
    <w:rsid w:val="002075EB"/>
    <w:rsid w:val="00215ECE"/>
    <w:rsid w:val="00222C74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06B43"/>
    <w:rsid w:val="003530B3"/>
    <w:rsid w:val="00365B33"/>
    <w:rsid w:val="00386E72"/>
    <w:rsid w:val="003906A2"/>
    <w:rsid w:val="003961DD"/>
    <w:rsid w:val="003A683F"/>
    <w:rsid w:val="003B1BD9"/>
    <w:rsid w:val="003B1D14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E362F"/>
    <w:rsid w:val="004F7975"/>
    <w:rsid w:val="0052312D"/>
    <w:rsid w:val="00531BC5"/>
    <w:rsid w:val="005643C0"/>
    <w:rsid w:val="00573131"/>
    <w:rsid w:val="005861A2"/>
    <w:rsid w:val="00586D4C"/>
    <w:rsid w:val="005E4B85"/>
    <w:rsid w:val="00612E35"/>
    <w:rsid w:val="0061350D"/>
    <w:rsid w:val="00616679"/>
    <w:rsid w:val="006275A5"/>
    <w:rsid w:val="006360B5"/>
    <w:rsid w:val="0064446A"/>
    <w:rsid w:val="0065460D"/>
    <w:rsid w:val="00654A50"/>
    <w:rsid w:val="00660816"/>
    <w:rsid w:val="006714D3"/>
    <w:rsid w:val="00682447"/>
    <w:rsid w:val="00692030"/>
    <w:rsid w:val="006B1BC0"/>
    <w:rsid w:val="006D1B13"/>
    <w:rsid w:val="006F5DF0"/>
    <w:rsid w:val="00703CC8"/>
    <w:rsid w:val="00705771"/>
    <w:rsid w:val="00710917"/>
    <w:rsid w:val="00714D56"/>
    <w:rsid w:val="00717F27"/>
    <w:rsid w:val="00725614"/>
    <w:rsid w:val="0076690A"/>
    <w:rsid w:val="00767906"/>
    <w:rsid w:val="0077748E"/>
    <w:rsid w:val="007A7546"/>
    <w:rsid w:val="007B44F8"/>
    <w:rsid w:val="007B58C0"/>
    <w:rsid w:val="007E2F07"/>
    <w:rsid w:val="007E313C"/>
    <w:rsid w:val="007F243A"/>
    <w:rsid w:val="0080295C"/>
    <w:rsid w:val="008066B7"/>
    <w:rsid w:val="00815DAA"/>
    <w:rsid w:val="008230C3"/>
    <w:rsid w:val="008453F5"/>
    <w:rsid w:val="00862BE0"/>
    <w:rsid w:val="00872E07"/>
    <w:rsid w:val="00881C93"/>
    <w:rsid w:val="008914EE"/>
    <w:rsid w:val="008942EB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64676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EB4"/>
    <w:rsid w:val="00AB5FC1"/>
    <w:rsid w:val="00AC7EC8"/>
    <w:rsid w:val="00AE5F02"/>
    <w:rsid w:val="00AF29EE"/>
    <w:rsid w:val="00AF3209"/>
    <w:rsid w:val="00AF744A"/>
    <w:rsid w:val="00B01866"/>
    <w:rsid w:val="00B21FA3"/>
    <w:rsid w:val="00B46110"/>
    <w:rsid w:val="00B75B28"/>
    <w:rsid w:val="00B76C10"/>
    <w:rsid w:val="00B87402"/>
    <w:rsid w:val="00B938E1"/>
    <w:rsid w:val="00BA42D5"/>
    <w:rsid w:val="00BC3C65"/>
    <w:rsid w:val="00BE7DDA"/>
    <w:rsid w:val="00BF2CC4"/>
    <w:rsid w:val="00C265B9"/>
    <w:rsid w:val="00C80697"/>
    <w:rsid w:val="00C97D52"/>
    <w:rsid w:val="00CB3778"/>
    <w:rsid w:val="00CC5EF8"/>
    <w:rsid w:val="00CD199A"/>
    <w:rsid w:val="00CD6B3E"/>
    <w:rsid w:val="00D03719"/>
    <w:rsid w:val="00D34F60"/>
    <w:rsid w:val="00D468B9"/>
    <w:rsid w:val="00D5499C"/>
    <w:rsid w:val="00DA7F93"/>
    <w:rsid w:val="00DB6422"/>
    <w:rsid w:val="00DB76E2"/>
    <w:rsid w:val="00DE1E27"/>
    <w:rsid w:val="00DE20FD"/>
    <w:rsid w:val="00DE76A5"/>
    <w:rsid w:val="00DF69D6"/>
    <w:rsid w:val="00E2364C"/>
    <w:rsid w:val="00E269D4"/>
    <w:rsid w:val="00E340D1"/>
    <w:rsid w:val="00E402D9"/>
    <w:rsid w:val="00E402EE"/>
    <w:rsid w:val="00E40809"/>
    <w:rsid w:val="00E54A29"/>
    <w:rsid w:val="00E568F3"/>
    <w:rsid w:val="00E65950"/>
    <w:rsid w:val="00E72164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22CB3"/>
    <w:rsid w:val="00F2477E"/>
    <w:rsid w:val="00F31CF7"/>
    <w:rsid w:val="00F33B49"/>
    <w:rsid w:val="00F362F2"/>
    <w:rsid w:val="00F53574"/>
    <w:rsid w:val="00F602D9"/>
    <w:rsid w:val="00F712DE"/>
    <w:rsid w:val="00F741A8"/>
    <w:rsid w:val="00F74F06"/>
    <w:rsid w:val="00F8369B"/>
    <w:rsid w:val="00FA7558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mazda-press.com/novidades/2025/euro-ncap-considera-mazda-cx-80-como--o-melhor-grande-suv-do-segmento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lpinheiro@goodnews.p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morao@goodnews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azda-press.pt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186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9</cp:revision>
  <cp:lastPrinted>2025-03-18T15:13:00Z</cp:lastPrinted>
  <dcterms:created xsi:type="dcterms:W3CDTF">2025-03-18T12:10:00Z</dcterms:created>
  <dcterms:modified xsi:type="dcterms:W3CDTF">2025-04-04T15:03:00Z</dcterms:modified>
</cp:coreProperties>
</file>